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46FF" w14:textId="4273478D" w:rsidR="00983A9C" w:rsidRPr="001C6B42" w:rsidRDefault="00075F6B" w:rsidP="00983A9C">
      <w:pPr>
        <w:spacing w:after="0" w:line="240" w:lineRule="auto"/>
        <w:rPr>
          <w:rFonts w:ascii="Arial" w:eastAsia="Times New Roman" w:hAnsi="Arial" w:cs="Arial"/>
          <w:color w:val="222222"/>
          <w:kern w:val="0"/>
          <w:sz w:val="24"/>
          <w:szCs w:val="24"/>
          <w:lang w:eastAsia="en-NL"/>
          <w14:ligatures w14:val="none"/>
        </w:rPr>
      </w:pPr>
      <w:r>
        <w:rPr>
          <w:noProof/>
        </w:rPr>
        <w:drawing>
          <wp:inline distT="0" distB="0" distL="0" distR="0" wp14:anchorId="5B8CC430" wp14:editId="263D699D">
            <wp:extent cx="5731510" cy="3718560"/>
            <wp:effectExtent l="0" t="0" r="2540"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3718560"/>
                    </a:xfrm>
                    <a:prstGeom prst="rect">
                      <a:avLst/>
                    </a:prstGeom>
                  </pic:spPr>
                </pic:pic>
              </a:graphicData>
            </a:graphic>
          </wp:inline>
        </w:drawing>
      </w:r>
      <w:r w:rsidR="00983A9C" w:rsidRPr="001C6B42">
        <w:rPr>
          <w:rFonts w:ascii="Arial" w:eastAsia="Times New Roman" w:hAnsi="Arial" w:cs="Arial"/>
          <w:color w:val="222222"/>
          <w:kern w:val="0"/>
          <w:sz w:val="24"/>
          <w:szCs w:val="24"/>
          <w:lang w:eastAsia="en-NL"/>
          <w14:ligatures w14:val="none"/>
        </w:rPr>
        <w:t>Treatment Agreement</w:t>
      </w:r>
    </w:p>
    <w:p w14:paraId="0B8E6F92"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p>
    <w:p w14:paraId="725AD9BA"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You hereby agree to the following conditions:</w:t>
      </w:r>
    </w:p>
    <w:p w14:paraId="225F9C6C"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Confidentiality of the consultations/therapy</w:t>
      </w:r>
    </w:p>
    <w:p w14:paraId="4900ABC8"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The practitioner/therapist is bound by the professional code of the Dutch Association of Classical Homeopaths (NVKH) and the Register of Professional Practitioners Complementary Care (RBCZ).</w:t>
      </w:r>
    </w:p>
    <w:p w14:paraId="39CAFB9C"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The practitioner/therapist puts the interests of the client at the center of the therapy.  The client must provide all information relevant for proper treatment to the practitioner/therapist.  Substantive information from the therapy is never disclosed unless the client has given explicit permission for this.</w:t>
      </w:r>
    </w:p>
    <w:p w14:paraId="3B23755A"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The practitioner/therapist will request prior permission from the client before, during or after the treatment period to obtain or provide information to the following persons or bodies:</w:t>
      </w:r>
    </w:p>
    <w:p w14:paraId="5A59C3D4"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 GP</w:t>
      </w:r>
    </w:p>
    <w:p w14:paraId="40BA7674"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 Specialist</w:t>
      </w:r>
    </w:p>
    <w:p w14:paraId="4C5F2332"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 Parents</w:t>
      </w:r>
    </w:p>
    <w:p w14:paraId="78D613F2"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 Fellow therapists</w:t>
      </w:r>
    </w:p>
    <w:p w14:paraId="47C82280"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 Observer</w:t>
      </w:r>
    </w:p>
    <w:p w14:paraId="63E05E71"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 Others</w:t>
      </w:r>
    </w:p>
    <w:p w14:paraId="3193FC01"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The client has the right to inspect his file.</w:t>
      </w:r>
    </w:p>
    <w:p w14:paraId="15377BDF" w14:textId="4F4F8B76"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The well-being and the request for help of</w:t>
      </w:r>
      <w:r>
        <w:rPr>
          <w:rFonts w:ascii="Arial" w:eastAsia="Times New Roman" w:hAnsi="Arial" w:cs="Arial"/>
          <w:color w:val="222222"/>
          <w:kern w:val="0"/>
          <w:sz w:val="24"/>
          <w:szCs w:val="24"/>
          <w:lang w:val="en-GB" w:eastAsia="en-NL"/>
          <w14:ligatures w14:val="none"/>
        </w:rPr>
        <w:t xml:space="preserve"> th</w:t>
      </w:r>
      <w:r w:rsidRPr="001C6B42">
        <w:rPr>
          <w:rFonts w:ascii="Arial" w:eastAsia="Times New Roman" w:hAnsi="Arial" w:cs="Arial"/>
          <w:color w:val="222222"/>
          <w:kern w:val="0"/>
          <w:sz w:val="24"/>
          <w:szCs w:val="24"/>
          <w:lang w:eastAsia="en-NL"/>
          <w14:ligatures w14:val="none"/>
        </w:rPr>
        <w:t xml:space="preserve">e client are the starting point for homeopathic treatment.  </w:t>
      </w:r>
      <w:r>
        <w:rPr>
          <w:rFonts w:ascii="Arial" w:eastAsia="Times New Roman" w:hAnsi="Arial" w:cs="Arial"/>
          <w:color w:val="222222"/>
          <w:kern w:val="0"/>
          <w:sz w:val="24"/>
          <w:szCs w:val="24"/>
          <w:lang w:val="en-GB" w:eastAsia="en-NL"/>
          <w14:ligatures w14:val="none"/>
        </w:rPr>
        <w:t xml:space="preserve">I have </w:t>
      </w:r>
      <w:r w:rsidRPr="001C6B42">
        <w:rPr>
          <w:rFonts w:ascii="Arial" w:eastAsia="Times New Roman" w:hAnsi="Arial" w:cs="Arial"/>
          <w:color w:val="222222"/>
          <w:kern w:val="0"/>
          <w:sz w:val="24"/>
          <w:szCs w:val="24"/>
          <w:lang w:eastAsia="en-NL"/>
          <w14:ligatures w14:val="none"/>
        </w:rPr>
        <w:t xml:space="preserve">set the goal of making the best possible contribution to improving the well-being of the client.  </w:t>
      </w:r>
      <w:r w:rsidR="00E40AC9">
        <w:rPr>
          <w:rFonts w:ascii="Arial" w:eastAsia="Times New Roman" w:hAnsi="Arial" w:cs="Arial"/>
          <w:color w:val="222222"/>
          <w:kern w:val="0"/>
          <w:sz w:val="24"/>
          <w:szCs w:val="24"/>
          <w:lang w:val="en-GB" w:eastAsia="en-NL"/>
          <w14:ligatures w14:val="none"/>
        </w:rPr>
        <w:t>I</w:t>
      </w:r>
      <w:r w:rsidRPr="001C6B42">
        <w:rPr>
          <w:rFonts w:ascii="Arial" w:eastAsia="Times New Roman" w:hAnsi="Arial" w:cs="Arial"/>
          <w:color w:val="222222"/>
          <w:kern w:val="0"/>
          <w:sz w:val="24"/>
          <w:szCs w:val="24"/>
          <w:lang w:eastAsia="en-NL"/>
          <w14:ligatures w14:val="none"/>
        </w:rPr>
        <w:t xml:space="preserve"> will not interfere with regular treatments and/or assistance.  It is up to the client to maintain contact with the relevant regular care, such as the general practitioner and any doctors or therapists involved.  The client remains responsible for his or her health/well-being.  The client declares to be familiar with the regular treatment methods and follows the treatment, agreements and advice of the regular assistance.  If the client wishes to deviate from this, the </w:t>
      </w:r>
      <w:r w:rsidRPr="001C6B42">
        <w:rPr>
          <w:rFonts w:ascii="Arial" w:eastAsia="Times New Roman" w:hAnsi="Arial" w:cs="Arial"/>
          <w:color w:val="222222"/>
          <w:kern w:val="0"/>
          <w:sz w:val="24"/>
          <w:szCs w:val="24"/>
          <w:lang w:eastAsia="en-NL"/>
          <w14:ligatures w14:val="none"/>
        </w:rPr>
        <w:lastRenderedPageBreak/>
        <w:t>client declares to be responsible for this choice and the communication thereof to the doctor or medical specialist.</w:t>
      </w:r>
    </w:p>
    <w:p w14:paraId="0C97D4C2"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The client understands that the aim of classical homeopathic treatment is to optimize physical and mental emotional well-being, but that no guarantee for success and healing can be given.</w:t>
      </w:r>
    </w:p>
    <w:p w14:paraId="37C9D98A"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p>
    <w:p w14:paraId="55AB4C69"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Treatment children</w:t>
      </w:r>
    </w:p>
    <w:p w14:paraId="279F4AB6"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According to the Medical Treatment Agreement Act (WGBO), the consent of both parents/guardians is required for children up to the age of 16 prior to treatment.</w:t>
      </w:r>
    </w:p>
    <w:p w14:paraId="2501F78B"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Cost treatment</w:t>
      </w:r>
    </w:p>
    <w:p w14:paraId="578257A7"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xml:space="preserve"> The client must be informed in advance about the costs per consultation/treatment.  The costs of the therapy are € </w:t>
      </w:r>
      <w:r>
        <w:rPr>
          <w:rFonts w:ascii="Arial" w:eastAsia="Times New Roman" w:hAnsi="Arial" w:cs="Arial"/>
          <w:color w:val="222222"/>
          <w:kern w:val="0"/>
          <w:sz w:val="24"/>
          <w:szCs w:val="24"/>
          <w:lang w:val="en-GB" w:eastAsia="en-NL"/>
          <w14:ligatures w14:val="none"/>
        </w:rPr>
        <w:t>115</w:t>
      </w:r>
      <w:r w:rsidRPr="001C6B42">
        <w:rPr>
          <w:rFonts w:ascii="Arial" w:eastAsia="Times New Roman" w:hAnsi="Arial" w:cs="Arial"/>
          <w:color w:val="222222"/>
          <w:kern w:val="0"/>
          <w:sz w:val="24"/>
          <w:szCs w:val="24"/>
          <w:lang w:eastAsia="en-NL"/>
          <w14:ligatures w14:val="none"/>
        </w:rPr>
        <w:t>.00 for the first consultation (1 1/2 to 2 hours).  Follow-up consultations take an average of 1 to 1 1/2 hours, the rate is € 70.00 per hour .  The costs of the treatment must be transferred to the bank account of the practice 5 days after receipt of the statement.  In the event of non-compliance with this agreement, the practitioner may charge the statutory interest.</w:t>
      </w:r>
    </w:p>
    <w:p w14:paraId="3E69786F"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p>
    <w:p w14:paraId="6F3E2133"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p>
    <w:p w14:paraId="3D8C8A6D"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p>
    <w:p w14:paraId="53A75CD3"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Reimbursement insurers</w:t>
      </w:r>
    </w:p>
    <w:p w14:paraId="56A0F3B3"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Most but not all health insurers reimburse the treatments.  Before visiting your therapist, always check with your health insurer whether the costs will be (partially) reimbursed.  Always submit received expense claims (keep a copy for yourself).</w:t>
      </w:r>
    </w:p>
    <w:p w14:paraId="77B20D30"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Make sure that your practitioner always states her NVKH license number and the AGB code, RBCZ code and Chamber of Commerce registration on her invoices.  The NVKH logo must also be printed on the invoice.</w:t>
      </w:r>
    </w:p>
    <w:p w14:paraId="04B0F19D"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Duration of treatment</w:t>
      </w:r>
    </w:p>
    <w:p w14:paraId="1331BB3A"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The therapy consists of a number of consultations/treatments, each of which involves a discussion prior to the treatment.  During these conversations, it is always decided in consultation whether the therapy / treatment will be continued.  An initial consultation takes 2 hours and a follow-up consultation takes an average of 1 hour – 1 1/2 hours.  You can always contact us for questions.  Phone or email consultations lasting less than 15 minutes will not be charged.  If telephone or email consultations take longer, the consultation will be charged per quarter of an hour.</w:t>
      </w:r>
    </w:p>
    <w:p w14:paraId="75E85378"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Accessibility</w:t>
      </w:r>
    </w:p>
    <w:p w14:paraId="6CD713A8"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The therapist always offers the option to leave a voicemail or send a message via text, whats app, e-mail or the contact form on this website.  You will then be called back as soon as possible.</w:t>
      </w:r>
    </w:p>
    <w:p w14:paraId="121A17FC"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Dates</w:t>
      </w:r>
    </w:p>
    <w:p w14:paraId="0E16CD15"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In case of absence, the client must cancel at least 24 hours in advance (possibly by a message on the voicemail, via text message or by e-mail), otherwise the full consultation will be charged.  If the practitioner/therapist is unable to attend, you must be informed in good time and a new appointment can be made in the short term.</w:t>
      </w:r>
    </w:p>
    <w:p w14:paraId="1BC64A64"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w:t>
      </w:r>
    </w:p>
    <w:p w14:paraId="212094CE"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Exceptional provisions</w:t>
      </w:r>
    </w:p>
    <w:p w14:paraId="79F95855"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xml:space="preserve"> If, due to illness or other causes, the therapist is unable to carry out the consultations/treatments herself for a period longer than four weeks, she can propose to engage a fellow therapist in her place to take over the treatment.  In the </w:t>
      </w:r>
      <w:r w:rsidRPr="001C6B42">
        <w:rPr>
          <w:rFonts w:ascii="Arial" w:eastAsia="Times New Roman" w:hAnsi="Arial" w:cs="Arial"/>
          <w:color w:val="222222"/>
          <w:kern w:val="0"/>
          <w:sz w:val="24"/>
          <w:szCs w:val="24"/>
          <w:lang w:eastAsia="en-NL"/>
          <w14:ligatures w14:val="none"/>
        </w:rPr>
        <w:lastRenderedPageBreak/>
        <w:t>event that the client does not wish to accept this, she/he must make this known in writing to the therapist/practitioner and this agreement will end on the date of receipt of said letter to the therapist/practitioner.  After termination of the agreement, only the costs of the treatments/consultations will be charged until the aforementioned date.</w:t>
      </w:r>
    </w:p>
    <w:p w14:paraId="6DBEA93D"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Liability</w:t>
      </w:r>
    </w:p>
    <w:p w14:paraId="466F8CCF"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The therapist has professional liability insurance.  Any liability of the therapist is limited to an amount that is paid out by the insurer, increased by the deductible.  In the event of disputes with the practitioner/therapist, it is advisable to first discuss this with your practitioner/therapist.  If you cannot come to an agreement together, you can submit a written complaint to the NVKH disciplinary committee (</w:t>
      </w:r>
      <w:hyperlink r:id="rId5" w:tgtFrame="_blank" w:history="1">
        <w:r w:rsidRPr="001C6B42">
          <w:rPr>
            <w:rFonts w:ascii="Arial" w:eastAsia="Times New Roman" w:hAnsi="Arial" w:cs="Arial"/>
            <w:color w:val="1155CC"/>
            <w:kern w:val="0"/>
            <w:sz w:val="24"/>
            <w:szCs w:val="24"/>
            <w:u w:val="single"/>
            <w:lang w:eastAsia="en-NL"/>
            <w14:ligatures w14:val="none"/>
          </w:rPr>
          <w:t>www.nvkh.nl</w:t>
        </w:r>
      </w:hyperlink>
      <w:r w:rsidRPr="001C6B42">
        <w:rPr>
          <w:rFonts w:ascii="Arial" w:eastAsia="Times New Roman" w:hAnsi="Arial" w:cs="Arial"/>
          <w:color w:val="222222"/>
          <w:kern w:val="0"/>
          <w:sz w:val="24"/>
          <w:szCs w:val="24"/>
          <w:lang w:eastAsia="en-NL"/>
          <w14:ligatures w14:val="none"/>
        </w:rPr>
        <w:t>) or the RBCZ.  Your practitioner can inform you about this.  For disciplinary law, you can turn to Stichting Tuchtrecht Complementaire Zorg (</w:t>
      </w:r>
      <w:hyperlink r:id="rId6" w:tgtFrame="_blank" w:history="1">
        <w:r w:rsidRPr="001C6B42">
          <w:rPr>
            <w:rFonts w:ascii="Arial" w:eastAsia="Times New Roman" w:hAnsi="Arial" w:cs="Arial"/>
            <w:color w:val="1155CC"/>
            <w:kern w:val="0"/>
            <w:sz w:val="24"/>
            <w:szCs w:val="24"/>
            <w:u w:val="single"/>
            <w:lang w:eastAsia="en-NL"/>
            <w14:ligatures w14:val="none"/>
          </w:rPr>
          <w:t>www.tcz.nl</w:t>
        </w:r>
      </w:hyperlink>
      <w:r w:rsidRPr="001C6B42">
        <w:rPr>
          <w:rFonts w:ascii="Arial" w:eastAsia="Times New Roman" w:hAnsi="Arial" w:cs="Arial"/>
          <w:color w:val="222222"/>
          <w:kern w:val="0"/>
          <w:sz w:val="24"/>
          <w:szCs w:val="24"/>
          <w:lang w:eastAsia="en-NL"/>
          <w14:ligatures w14:val="none"/>
        </w:rPr>
        <w:t>).</w:t>
      </w:r>
    </w:p>
    <w:p w14:paraId="4079C095"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Dutch law applies to this agreement.</w:t>
      </w:r>
    </w:p>
    <w:p w14:paraId="19DDF6BD" w14:textId="77777777" w:rsidR="00983A9C" w:rsidRPr="001C6B42" w:rsidRDefault="00983A9C" w:rsidP="00983A9C">
      <w:pPr>
        <w:spacing w:after="0" w:line="240" w:lineRule="auto"/>
        <w:rPr>
          <w:rFonts w:ascii="Arial" w:eastAsia="Times New Roman" w:hAnsi="Arial" w:cs="Arial"/>
          <w:color w:val="222222"/>
          <w:kern w:val="0"/>
          <w:sz w:val="24"/>
          <w:szCs w:val="24"/>
          <w:lang w:eastAsia="en-NL"/>
          <w14:ligatures w14:val="none"/>
        </w:rPr>
      </w:pPr>
      <w:r w:rsidRPr="001C6B42">
        <w:rPr>
          <w:rFonts w:ascii="Arial" w:eastAsia="Times New Roman" w:hAnsi="Arial" w:cs="Arial"/>
          <w:color w:val="222222"/>
          <w:kern w:val="0"/>
          <w:sz w:val="24"/>
          <w:szCs w:val="24"/>
          <w:lang w:eastAsia="en-NL"/>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635"/>
        <w:gridCol w:w="8391"/>
      </w:tblGrid>
      <w:tr w:rsidR="00983A9C" w:rsidRPr="001C6B42" w14:paraId="7EB54950" w14:textId="77777777" w:rsidTr="008261E0">
        <w:tc>
          <w:tcPr>
            <w:tcW w:w="660" w:type="dxa"/>
            <w:tcMar>
              <w:top w:w="0" w:type="dxa"/>
              <w:left w:w="240" w:type="dxa"/>
              <w:bottom w:w="0" w:type="dxa"/>
              <w:right w:w="240" w:type="dxa"/>
            </w:tcMar>
            <w:hideMark/>
          </w:tcPr>
          <w:p w14:paraId="734F65A2" w14:textId="77777777" w:rsidR="00983A9C" w:rsidRPr="001C6B42" w:rsidRDefault="00983A9C" w:rsidP="008261E0">
            <w:pPr>
              <w:spacing w:after="0" w:line="240" w:lineRule="auto"/>
              <w:rPr>
                <w:rFonts w:ascii="Times New Roman" w:eastAsia="Times New Roman" w:hAnsi="Times New Roman" w:cs="Times New Roman"/>
                <w:kern w:val="0"/>
                <w:sz w:val="24"/>
                <w:szCs w:val="24"/>
                <w:lang w:eastAsia="en-NL"/>
                <w14:ligatures w14:val="none"/>
              </w:rPr>
            </w:pPr>
          </w:p>
        </w:tc>
        <w:tc>
          <w:tcPr>
            <w:tcW w:w="9770" w:type="dxa"/>
            <w:tcMar>
              <w:top w:w="0" w:type="dxa"/>
              <w:left w:w="0" w:type="dxa"/>
              <w:bottom w:w="0" w:type="dxa"/>
              <w:right w:w="0" w:type="dxa"/>
            </w:tcMar>
            <w:vAlign w:val="center"/>
            <w:hideMark/>
          </w:tcPr>
          <w:p w14:paraId="47FAE1CD" w14:textId="41F9E187" w:rsidR="00983A9C" w:rsidRPr="001C6B42" w:rsidRDefault="00983A9C" w:rsidP="008261E0">
            <w:pPr>
              <w:shd w:val="clear" w:color="auto" w:fill="FFFFFF"/>
              <w:spacing w:after="0" w:line="300" w:lineRule="atLeast"/>
              <w:rPr>
                <w:rFonts w:ascii="Times New Roman" w:eastAsia="Times New Roman" w:hAnsi="Times New Roman" w:cs="Times New Roman"/>
                <w:color w:val="222222"/>
                <w:kern w:val="0"/>
                <w:sz w:val="24"/>
                <w:szCs w:val="24"/>
                <w:lang w:eastAsia="en-NL"/>
                <w14:ligatures w14:val="none"/>
              </w:rPr>
            </w:pPr>
          </w:p>
        </w:tc>
      </w:tr>
    </w:tbl>
    <w:p w14:paraId="30BEB333" w14:textId="77777777" w:rsidR="00983A9C" w:rsidRDefault="00983A9C"/>
    <w:sectPr w:rsidR="00983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9C"/>
    <w:rsid w:val="00075F6B"/>
    <w:rsid w:val="00983A9C"/>
    <w:rsid w:val="00A01BF2"/>
    <w:rsid w:val="00E40AC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0A27"/>
  <w15:chartTrackingRefBased/>
  <w15:docId w15:val="{2A127369-0D1A-4317-8B71-E8F1EF56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cz.nl/" TargetMode="External"/><Relationship Id="rId5" Type="http://schemas.openxmlformats.org/officeDocument/2006/relationships/hyperlink" Target="http://www.nvkh.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naveen</dc:creator>
  <cp:keywords/>
  <dc:description/>
  <cp:lastModifiedBy>sangeeta naveen</cp:lastModifiedBy>
  <cp:revision>5</cp:revision>
  <dcterms:created xsi:type="dcterms:W3CDTF">2023-04-29T19:44:00Z</dcterms:created>
  <dcterms:modified xsi:type="dcterms:W3CDTF">2023-05-03T14:34:00Z</dcterms:modified>
</cp:coreProperties>
</file>